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6062E" w14:textId="77777777" w:rsidR="00037C84" w:rsidRDefault="00037C84" w:rsidP="00195BC6">
      <w:pPr>
        <w:spacing w:after="0" w:line="240" w:lineRule="auto"/>
      </w:pPr>
    </w:p>
    <w:p w14:paraId="01D7CD62" w14:textId="6F6611C1" w:rsidR="008D5FE3" w:rsidRPr="00A405A8" w:rsidRDefault="00A405A8" w:rsidP="00501E03">
      <w:pPr>
        <w:spacing w:after="0" w:line="240" w:lineRule="auto"/>
        <w:jc w:val="center"/>
        <w:rPr>
          <w:b/>
          <w:sz w:val="24"/>
          <w:szCs w:val="24"/>
        </w:rPr>
      </w:pPr>
      <w:r w:rsidRPr="00A405A8">
        <w:rPr>
          <w:b/>
          <w:sz w:val="24"/>
          <w:szCs w:val="24"/>
        </w:rPr>
        <w:t>ΠΡΟΛΗΨΗ ΤΩΝ ΕΡΓΑΤΙΚΩΝ ΑΤΥΧΗΜΑΤΩΝ</w:t>
      </w:r>
    </w:p>
    <w:p w14:paraId="4EEEE4B2" w14:textId="77777777" w:rsidR="00620A1E" w:rsidRPr="00972742" w:rsidRDefault="00620A1E" w:rsidP="00501E03">
      <w:pPr>
        <w:spacing w:after="0" w:line="240" w:lineRule="auto"/>
        <w:jc w:val="center"/>
        <w:rPr>
          <w:b/>
          <w:sz w:val="20"/>
          <w:szCs w:val="20"/>
        </w:rPr>
      </w:pPr>
    </w:p>
    <w:p w14:paraId="3DC84E11" w14:textId="77777777" w:rsidR="00485C8A" w:rsidRPr="00404E8C" w:rsidRDefault="00AC5024" w:rsidP="00501E03">
      <w:pPr>
        <w:spacing w:after="0" w:line="240" w:lineRule="auto"/>
        <w:jc w:val="center"/>
        <w:rPr>
          <w:b/>
        </w:rPr>
      </w:pPr>
      <w:r w:rsidRPr="00404E8C">
        <w:rPr>
          <w:b/>
        </w:rPr>
        <w:t>Σύνηθες είδος ατυχήματος — Κίνηση του σώματος υπό ή με σωματική καταπόνηση στον τομέα των μεταφορών και της αποθήκευσης</w:t>
      </w:r>
    </w:p>
    <w:p w14:paraId="4867C502" w14:textId="77777777" w:rsidR="00AC5024" w:rsidRPr="00501E03" w:rsidRDefault="00AC5024" w:rsidP="00501E03">
      <w:pPr>
        <w:spacing w:after="0" w:line="240" w:lineRule="auto"/>
        <w:jc w:val="center"/>
        <w:rPr>
          <w:b/>
          <w:sz w:val="20"/>
          <w:szCs w:val="20"/>
        </w:rPr>
      </w:pPr>
    </w:p>
    <w:p w14:paraId="4FFDA79B" w14:textId="77777777" w:rsidR="008D5FE3" w:rsidRPr="00972742" w:rsidRDefault="008D5FE3" w:rsidP="00501E03">
      <w:pPr>
        <w:spacing w:after="0" w:line="240" w:lineRule="auto"/>
        <w:jc w:val="both"/>
        <w:rPr>
          <w:sz w:val="20"/>
          <w:szCs w:val="20"/>
        </w:rPr>
      </w:pPr>
    </w:p>
    <w:p w14:paraId="5113C2E5" w14:textId="77777777" w:rsidR="007A221A" w:rsidRPr="00972742" w:rsidRDefault="007A221A" w:rsidP="00501E03">
      <w:pPr>
        <w:spacing w:after="0" w:line="240" w:lineRule="auto"/>
        <w:jc w:val="both"/>
        <w:rPr>
          <w:b/>
          <w:color w:val="4472C4" w:themeColor="accent5"/>
          <w:sz w:val="20"/>
          <w:szCs w:val="20"/>
        </w:rPr>
      </w:pPr>
    </w:p>
    <w:p w14:paraId="7E28A002" w14:textId="77777777" w:rsidR="008D5FE3" w:rsidRPr="00501E03" w:rsidRDefault="006313C4" w:rsidP="00501E03">
      <w:pPr>
        <w:spacing w:after="0" w:line="240" w:lineRule="auto"/>
        <w:jc w:val="both"/>
        <w:rPr>
          <w:b/>
          <w:color w:val="4472C4" w:themeColor="accent5"/>
          <w:sz w:val="20"/>
          <w:szCs w:val="20"/>
        </w:rPr>
      </w:pPr>
      <w:r>
        <w:rPr>
          <w:b/>
          <w:color w:val="4472C4" w:themeColor="accent5"/>
          <w:sz w:val="20"/>
        </w:rPr>
        <w:t>Κίνηση του σώματος υπό ή με σωματική καταπόνηση ― γιατί;</w:t>
      </w:r>
    </w:p>
    <w:p w14:paraId="778F5E3D" w14:textId="77777777" w:rsidR="00195BC6" w:rsidRPr="00972742" w:rsidRDefault="00195BC6" w:rsidP="00501E03">
      <w:pPr>
        <w:spacing w:after="0" w:line="240" w:lineRule="auto"/>
        <w:jc w:val="both"/>
        <w:rPr>
          <w:sz w:val="20"/>
          <w:szCs w:val="20"/>
        </w:rPr>
      </w:pPr>
    </w:p>
    <w:p w14:paraId="521F518E" w14:textId="77777777" w:rsidR="00620A1E" w:rsidRDefault="006313C4" w:rsidP="00501E03">
      <w:pPr>
        <w:spacing w:after="0" w:line="240" w:lineRule="auto"/>
        <w:jc w:val="both"/>
        <w:rPr>
          <w:rFonts w:cs="Helvetica"/>
          <w:sz w:val="20"/>
          <w:szCs w:val="20"/>
          <w:shd w:val="clear" w:color="auto" w:fill="FFFFFF"/>
        </w:rPr>
      </w:pPr>
      <w:r>
        <w:rPr>
          <w:sz w:val="20"/>
          <w:shd w:val="clear" w:color="auto" w:fill="FFFFFF"/>
        </w:rPr>
        <w:t>Σύμφωνα με τις</w:t>
      </w:r>
      <w:r>
        <w:rPr>
          <w:sz w:val="20"/>
        </w:rPr>
        <w:t xml:space="preserve"> ευρωπαϊκές στατιστικές που παρασχέθηκαν από την </w:t>
      </w:r>
      <w:proofErr w:type="spellStart"/>
      <w:r>
        <w:rPr>
          <w:sz w:val="20"/>
        </w:rPr>
        <w:t>Eurostat</w:t>
      </w:r>
      <w:proofErr w:type="spellEnd"/>
      <w:r>
        <w:rPr>
          <w:sz w:val="20"/>
        </w:rPr>
        <w:t xml:space="preserve"> για τα εργατικά ατυχήματα, το 2020 η κύρια αιτία (22,2 %) των </w:t>
      </w:r>
      <w:r>
        <w:rPr>
          <w:sz w:val="20"/>
          <w:shd w:val="clear" w:color="auto" w:fill="FFFFFF"/>
        </w:rPr>
        <w:t>μη θανατηφόρων ατυχημάτων στον τομέα των μεταφορών και της αποθήκευσης αποδόθηκε σε «κίνηση του σώματος υπό ή με σωματική καταπόνηση».</w:t>
      </w:r>
    </w:p>
    <w:p w14:paraId="1688971F" w14:textId="77777777" w:rsidR="00501E03" w:rsidRPr="00972742" w:rsidRDefault="00501E03" w:rsidP="00501E03">
      <w:pPr>
        <w:spacing w:after="0" w:line="240" w:lineRule="auto"/>
        <w:jc w:val="both"/>
        <w:rPr>
          <w:rFonts w:cs="Helvetica"/>
          <w:sz w:val="20"/>
          <w:szCs w:val="20"/>
          <w:shd w:val="clear" w:color="auto" w:fill="FFFFFF"/>
        </w:rPr>
      </w:pPr>
    </w:p>
    <w:p w14:paraId="111A2E45" w14:textId="77777777" w:rsidR="005520C3" w:rsidRDefault="00620A1E" w:rsidP="00501E03">
      <w:pPr>
        <w:spacing w:after="0" w:line="240" w:lineRule="auto"/>
        <w:jc w:val="both"/>
        <w:rPr>
          <w:sz w:val="20"/>
          <w:szCs w:val="20"/>
        </w:rPr>
      </w:pPr>
      <w:r>
        <w:rPr>
          <w:sz w:val="20"/>
        </w:rPr>
        <w:t xml:space="preserve">Τέτοιοι παράγοντες που ενδέχεται να προκαλέσουν ατυχήματα αφορούν κυρίως κινήσεις χειρωνακτικού χειρισμού φορτίου που συνεπάγονται σωματική καταπόνηση, δηλαδή μεγαλύτερη από τη συνήθη σωματική προσπάθεια του θύματος κατά την ανύψωση, τη μεταφορά, την ώθηση, την έλξη, την ανύψωση, τη στρίψιμο, την περιστροφή κ.λπ. </w:t>
      </w:r>
    </w:p>
    <w:p w14:paraId="346DD4C6" w14:textId="77777777" w:rsidR="00501E03" w:rsidRPr="00972742" w:rsidRDefault="00501E03" w:rsidP="00501E03">
      <w:pPr>
        <w:spacing w:after="0" w:line="240" w:lineRule="auto"/>
        <w:jc w:val="both"/>
        <w:rPr>
          <w:sz w:val="20"/>
          <w:szCs w:val="20"/>
        </w:rPr>
      </w:pPr>
    </w:p>
    <w:p w14:paraId="7488833F" w14:textId="77777777" w:rsidR="005520C3" w:rsidRPr="00501E03" w:rsidRDefault="000565FB" w:rsidP="00501E03">
      <w:pPr>
        <w:spacing w:after="0" w:line="240" w:lineRule="auto"/>
        <w:jc w:val="both"/>
        <w:rPr>
          <w:sz w:val="20"/>
          <w:szCs w:val="20"/>
        </w:rPr>
      </w:pPr>
      <w:r>
        <w:rPr>
          <w:sz w:val="20"/>
        </w:rPr>
        <w:t xml:space="preserve">Ο χειρωνακτικός χειρισμός αποτελεί κοινή απαίτηση στον κλάδο των μεταφορών και οι οδηγοί που εκτελούν οδικές μεταφορές υποχρεούνται συχνά να ανυψώνουν και να μετακινούν </w:t>
      </w:r>
      <w:proofErr w:type="spellStart"/>
      <w:r>
        <w:rPr>
          <w:sz w:val="20"/>
        </w:rPr>
        <w:t>βαρέα</w:t>
      </w:r>
      <w:proofErr w:type="spellEnd"/>
      <w:r>
        <w:rPr>
          <w:sz w:val="20"/>
        </w:rPr>
        <w:t xml:space="preserve"> αντικείμενα, όπως φορτία, δέματα και εξοπλισμό. </w:t>
      </w:r>
    </w:p>
    <w:p w14:paraId="3420077E" w14:textId="77777777" w:rsidR="00501E03" w:rsidRPr="00972742" w:rsidRDefault="00501E03" w:rsidP="00501E03">
      <w:pPr>
        <w:spacing w:after="0" w:line="240" w:lineRule="auto"/>
        <w:jc w:val="both"/>
        <w:rPr>
          <w:sz w:val="20"/>
          <w:szCs w:val="20"/>
        </w:rPr>
      </w:pPr>
    </w:p>
    <w:p w14:paraId="4BCC2D23" w14:textId="77777777" w:rsidR="006313C4" w:rsidRPr="00501E03" w:rsidRDefault="000565FB" w:rsidP="00501E03">
      <w:pPr>
        <w:spacing w:after="0" w:line="240" w:lineRule="auto"/>
        <w:jc w:val="both"/>
        <w:rPr>
          <w:sz w:val="20"/>
          <w:szCs w:val="20"/>
        </w:rPr>
      </w:pPr>
      <w:r>
        <w:rPr>
          <w:sz w:val="20"/>
        </w:rPr>
        <w:t xml:space="preserve">Οι ακατάλληλες τεχνικές χειρωνακτικού χειρισμού μπορούν να οδηγήσουν σε σωματική καταπόνηση που έχει ως αποτέλεσμα εσωτερικές μυοσκελετικές παθήσεις (ΜΣΠ), οι οποίες συνίστανται σε τραυματισμούς μυών, τενόντων, συνδέσμων, νευρικού συστήματος, αιμοφόρων αγγείων, αρθρώσεων και οστών. </w:t>
      </w:r>
    </w:p>
    <w:p w14:paraId="72EC72AD" w14:textId="77777777" w:rsidR="002313FA" w:rsidRPr="00972742" w:rsidRDefault="002313FA" w:rsidP="00501E03">
      <w:pPr>
        <w:spacing w:after="0" w:line="240" w:lineRule="auto"/>
        <w:jc w:val="both"/>
        <w:rPr>
          <w:sz w:val="20"/>
          <w:szCs w:val="20"/>
        </w:rPr>
      </w:pPr>
    </w:p>
    <w:p w14:paraId="73F84451" w14:textId="77777777" w:rsidR="00B67EAE" w:rsidRPr="00972742" w:rsidRDefault="00B67EAE" w:rsidP="00501E03">
      <w:pPr>
        <w:spacing w:after="0" w:line="240" w:lineRule="auto"/>
        <w:jc w:val="both"/>
        <w:rPr>
          <w:sz w:val="20"/>
          <w:szCs w:val="20"/>
        </w:rPr>
      </w:pPr>
    </w:p>
    <w:p w14:paraId="1661BFCE" w14:textId="78FD2646" w:rsidR="00195BC6" w:rsidRPr="00501E03" w:rsidRDefault="00BD672C" w:rsidP="00501E03">
      <w:pPr>
        <w:spacing w:after="0" w:line="240" w:lineRule="auto"/>
        <w:jc w:val="both"/>
        <w:rPr>
          <w:b/>
          <w:color w:val="4472C4" w:themeColor="accent5"/>
          <w:sz w:val="20"/>
          <w:szCs w:val="20"/>
        </w:rPr>
      </w:pPr>
      <w:r>
        <w:rPr>
          <w:b/>
          <w:color w:val="4472C4" w:themeColor="accent5"/>
          <w:sz w:val="20"/>
        </w:rPr>
        <w:t xml:space="preserve">Σχεδιασμός της </w:t>
      </w:r>
      <w:r w:rsidR="00A405A8">
        <w:rPr>
          <w:b/>
          <w:color w:val="4472C4" w:themeColor="accent5"/>
          <w:sz w:val="20"/>
        </w:rPr>
        <w:t>Ασφάλειας και Υγείας στην Εργασία (</w:t>
      </w:r>
      <w:r>
        <w:rPr>
          <w:b/>
          <w:color w:val="4472C4" w:themeColor="accent5"/>
          <w:sz w:val="20"/>
        </w:rPr>
        <w:t>ΑΥΕ</w:t>
      </w:r>
      <w:r w:rsidR="00A405A8">
        <w:rPr>
          <w:b/>
          <w:color w:val="4472C4" w:themeColor="accent5"/>
          <w:sz w:val="20"/>
        </w:rPr>
        <w:t>)</w:t>
      </w:r>
    </w:p>
    <w:p w14:paraId="3F07F65C" w14:textId="77777777" w:rsidR="00BD672C" w:rsidRPr="00972742" w:rsidRDefault="00BD672C" w:rsidP="00501E03">
      <w:pPr>
        <w:spacing w:after="0" w:line="240" w:lineRule="auto"/>
        <w:jc w:val="both"/>
        <w:rPr>
          <w:sz w:val="20"/>
          <w:szCs w:val="20"/>
        </w:rPr>
      </w:pPr>
    </w:p>
    <w:p w14:paraId="2F830DED" w14:textId="77777777" w:rsidR="0082507F" w:rsidRPr="00501E03" w:rsidRDefault="0082507F" w:rsidP="00501E03">
      <w:pPr>
        <w:spacing w:after="0" w:line="240" w:lineRule="auto"/>
        <w:jc w:val="both"/>
        <w:rPr>
          <w:sz w:val="20"/>
          <w:szCs w:val="20"/>
        </w:rPr>
      </w:pPr>
      <w:r>
        <w:rPr>
          <w:sz w:val="20"/>
        </w:rPr>
        <w:t>Δεν είναι επικίνδυνες όλες οι εργασίες χειρωνακτικού χειρισμού. Ως εκ τούτου, είναι αναγκαίο να προσδιοριστούν οι εργασίες που είναι επικίνδυνες και να διασφαλιστεί η κατάλληλη διαχείρισή τους.  Για την αξιολόγηση των επιμέρους εργασιών χειρωνακτικού χειρισμού μπορεί να χρησιμοποιηθεί μια διαδικασία εκτίμησης κινδύνου πέντε βημάτων. Αυτή η διαδικασία πέντε βημάτων είναι ένα μέσο για τη λεπτομερέστερη εξέταση των εργασιακών δραστηριοτήτων ώστε να προσδιοριστεί ο τρόπος εκτέλεσής τους και οι παράγοντες κινδύνου που συνδέονται με αυτές.</w:t>
      </w:r>
    </w:p>
    <w:p w14:paraId="51BA0328" w14:textId="77777777" w:rsidR="00130B04" w:rsidRPr="00972742" w:rsidRDefault="00130B04" w:rsidP="00501E03">
      <w:pPr>
        <w:spacing w:after="0" w:line="240" w:lineRule="auto"/>
        <w:jc w:val="both"/>
        <w:rPr>
          <w:sz w:val="20"/>
          <w:szCs w:val="20"/>
        </w:rPr>
      </w:pPr>
    </w:p>
    <w:p w14:paraId="6817E900" w14:textId="77777777" w:rsidR="00130B04" w:rsidRPr="00501E03" w:rsidRDefault="00130B04" w:rsidP="00501E03">
      <w:pPr>
        <w:pStyle w:val="ListParagraph"/>
        <w:numPr>
          <w:ilvl w:val="0"/>
          <w:numId w:val="14"/>
        </w:numPr>
        <w:spacing w:after="0" w:line="240" w:lineRule="auto"/>
        <w:ind w:left="360" w:hanging="270"/>
        <w:jc w:val="both"/>
        <w:rPr>
          <w:sz w:val="20"/>
          <w:szCs w:val="20"/>
        </w:rPr>
      </w:pPr>
      <w:r>
        <w:rPr>
          <w:b/>
          <w:sz w:val="20"/>
        </w:rPr>
        <w:t>Βήμα 1</w:t>
      </w:r>
      <w:r>
        <w:rPr>
          <w:sz w:val="20"/>
        </w:rPr>
        <w:t xml:space="preserve"> — Προσδιορίστε τη συγκεκριμένη εργασία και περιγράψτε τον τρόπο με τον οποίο εκτελείται. </w:t>
      </w:r>
    </w:p>
    <w:p w14:paraId="78528C2C" w14:textId="77777777" w:rsidR="00130B04" w:rsidRPr="00501E03" w:rsidRDefault="00130B04" w:rsidP="00501E03">
      <w:pPr>
        <w:pStyle w:val="ListParagraph"/>
        <w:numPr>
          <w:ilvl w:val="0"/>
          <w:numId w:val="14"/>
        </w:numPr>
        <w:spacing w:after="0" w:line="240" w:lineRule="auto"/>
        <w:ind w:left="360" w:hanging="270"/>
        <w:jc w:val="both"/>
        <w:rPr>
          <w:sz w:val="20"/>
          <w:szCs w:val="20"/>
        </w:rPr>
      </w:pPr>
      <w:r>
        <w:rPr>
          <w:b/>
          <w:sz w:val="20"/>
        </w:rPr>
        <w:t>Βήμα 2</w:t>
      </w:r>
      <w:r>
        <w:rPr>
          <w:sz w:val="20"/>
        </w:rPr>
        <w:t xml:space="preserve"> — Συλλέξτε όλες τις τεχνικές πληροφορίες σχετικά με το βάρος του φορτίου, τις φυσικές του διαστάσεις, τις στάσεις που παρατηρούνται κατά τη διάρκεια της δραστηριότητας χειρισμού, τον διαθέσιμο χώρο, τα πρότυπα διαχείρισης, τη διάρκεια της εργασίας, τη συχνότητα των δραστηριοτήτων χειρισμού και την εμπειρία του εργαζομένου στην εργασία.</w:t>
      </w:r>
    </w:p>
    <w:p w14:paraId="11D878C3" w14:textId="5E4BB7F1" w:rsidR="00130B04" w:rsidRPr="00501E03" w:rsidRDefault="00130B04" w:rsidP="00501E03">
      <w:pPr>
        <w:pStyle w:val="ListParagraph"/>
        <w:numPr>
          <w:ilvl w:val="0"/>
          <w:numId w:val="13"/>
        </w:numPr>
        <w:spacing w:after="0" w:line="240" w:lineRule="auto"/>
        <w:ind w:left="360"/>
        <w:jc w:val="both"/>
        <w:rPr>
          <w:sz w:val="20"/>
          <w:szCs w:val="20"/>
        </w:rPr>
      </w:pPr>
      <w:r>
        <w:rPr>
          <w:b/>
          <w:sz w:val="20"/>
        </w:rPr>
        <w:t>Βήμα 3</w:t>
      </w:r>
      <w:r>
        <w:rPr>
          <w:sz w:val="20"/>
        </w:rPr>
        <w:t xml:space="preserve"> — Προσδιορίστε τους παράγοντες κινδύνου — </w:t>
      </w:r>
      <w:r w:rsidR="00972742">
        <w:rPr>
          <w:sz w:val="20"/>
        </w:rPr>
        <w:t>π</w:t>
      </w:r>
      <w:r>
        <w:rPr>
          <w:sz w:val="20"/>
        </w:rPr>
        <w:t>αραδείγματα παραγόντων κινδύνου είναι το βαρύ ή ογκώδες φορτίο, το να χρειάζεται επίπονη σωματική προσπάθεια, το φορτίο που είναι δύσκαμπτο ή δύσκολο στο πιάσιμο, η κάμψη ή συστροφή του κορμού, η συγκράτηση του φορτίου μακριά από το σώμα, οι επαναλαμβανόμενες κινήσεις, η μεταφορά του φορτίου σε απόσταση, ο περιορισμένος χώρος και η ανομοιόμορφη επιφάνεια του δαπέδου.</w:t>
      </w:r>
    </w:p>
    <w:p w14:paraId="389D7F39" w14:textId="77777777" w:rsidR="00130B04" w:rsidRPr="00501E03" w:rsidRDefault="00130B04" w:rsidP="00501E03">
      <w:pPr>
        <w:pStyle w:val="ListParagraph"/>
        <w:numPr>
          <w:ilvl w:val="0"/>
          <w:numId w:val="12"/>
        </w:numPr>
        <w:spacing w:after="0" w:line="240" w:lineRule="auto"/>
        <w:ind w:left="360" w:hanging="270"/>
        <w:jc w:val="both"/>
        <w:rPr>
          <w:sz w:val="20"/>
          <w:szCs w:val="20"/>
        </w:rPr>
      </w:pPr>
      <w:r>
        <w:rPr>
          <w:b/>
          <w:sz w:val="20"/>
        </w:rPr>
        <w:lastRenderedPageBreak/>
        <w:t>Βήμα 4</w:t>
      </w:r>
      <w:r>
        <w:rPr>
          <w:sz w:val="20"/>
        </w:rPr>
        <w:t xml:space="preserve"> — Προσδιορίστε τις βελτιώσεις που πρέπει να πραγματοποιηθούν για την αποφυγή ή τη μείωση του κινδύνου τραυματισμού, οι οποίες μπορεί να περιλαμβάνουν συνδυασμό της χρήσης μηχανικών βοηθημάτων για το σύνολο ή μέρος της δραστηριότητας, αναδιοργάνωση του χώρου εργασίας ή των υλικών και ανάπτυξη ασφαλούς συστήματος προγράμματος εργασίας.</w:t>
      </w:r>
    </w:p>
    <w:p w14:paraId="0D2671E5" w14:textId="3981D379" w:rsidR="00130B04" w:rsidRPr="00501E03" w:rsidRDefault="00130B04" w:rsidP="00501E03">
      <w:pPr>
        <w:pStyle w:val="ListParagraph"/>
        <w:numPr>
          <w:ilvl w:val="0"/>
          <w:numId w:val="15"/>
        </w:numPr>
        <w:spacing w:after="0" w:line="240" w:lineRule="auto"/>
        <w:ind w:left="360" w:hanging="270"/>
        <w:jc w:val="both"/>
        <w:rPr>
          <w:sz w:val="20"/>
          <w:szCs w:val="20"/>
        </w:rPr>
      </w:pPr>
      <w:r>
        <w:rPr>
          <w:b/>
          <w:sz w:val="20"/>
        </w:rPr>
        <w:t>Βήμα 5</w:t>
      </w:r>
      <w:r>
        <w:rPr>
          <w:sz w:val="20"/>
        </w:rPr>
        <w:t xml:space="preserve"> — Επανεξετάστε την αποτελεσματικότητα των βελτιώσεων που εφαρμόζονται — </w:t>
      </w:r>
      <w:r w:rsidR="00972742">
        <w:rPr>
          <w:sz w:val="20"/>
        </w:rPr>
        <w:t>ε</w:t>
      </w:r>
      <w:r>
        <w:rPr>
          <w:sz w:val="20"/>
        </w:rPr>
        <w:t>πιβλέψτε και παρακολουθήστε το έργο της διασφάλισης της τήρησης των διαδικασιών ασφαλούς χειρωνακτικού χειρισμού και της ορθής χρήσης τυχόν παρεχόμενων βοηθημάτων χειρωνακτικού χειρισμού.</w:t>
      </w:r>
    </w:p>
    <w:p w14:paraId="16EC1CE9" w14:textId="77777777" w:rsidR="008254EF" w:rsidRPr="00972742" w:rsidRDefault="008254EF" w:rsidP="00501E03">
      <w:pPr>
        <w:spacing w:after="0" w:line="240" w:lineRule="auto"/>
        <w:jc w:val="both"/>
        <w:rPr>
          <w:sz w:val="20"/>
          <w:szCs w:val="20"/>
        </w:rPr>
      </w:pPr>
    </w:p>
    <w:p w14:paraId="7B1DCB64" w14:textId="77777777" w:rsidR="00820CF9" w:rsidRPr="00972742" w:rsidRDefault="00820CF9" w:rsidP="00501E03">
      <w:pPr>
        <w:spacing w:after="0" w:line="240" w:lineRule="auto"/>
        <w:jc w:val="both"/>
        <w:rPr>
          <w:b/>
          <w:color w:val="4472C4" w:themeColor="accent5"/>
          <w:sz w:val="20"/>
          <w:szCs w:val="20"/>
        </w:rPr>
      </w:pPr>
    </w:p>
    <w:p w14:paraId="4110B6BC" w14:textId="77777777" w:rsidR="008D5FE3" w:rsidRPr="00501E03" w:rsidRDefault="008D5FE3" w:rsidP="00501E03">
      <w:pPr>
        <w:spacing w:after="0" w:line="240" w:lineRule="auto"/>
        <w:jc w:val="both"/>
        <w:rPr>
          <w:b/>
          <w:color w:val="4472C4" w:themeColor="accent5"/>
          <w:sz w:val="20"/>
          <w:szCs w:val="20"/>
        </w:rPr>
      </w:pPr>
      <w:r>
        <w:rPr>
          <w:b/>
          <w:color w:val="4472C4" w:themeColor="accent5"/>
          <w:sz w:val="20"/>
        </w:rPr>
        <w:t>Περιγραφή ατυχήματος - Κίνηση του σώματος υπό ή με σωματική καταπόνηση</w:t>
      </w:r>
    </w:p>
    <w:p w14:paraId="393F2A6E" w14:textId="77777777" w:rsidR="00195BC6" w:rsidRPr="00972742" w:rsidRDefault="00195BC6" w:rsidP="00501E03">
      <w:pPr>
        <w:spacing w:after="0" w:line="240" w:lineRule="auto"/>
        <w:jc w:val="both"/>
        <w:rPr>
          <w:sz w:val="20"/>
          <w:szCs w:val="20"/>
        </w:rPr>
      </w:pPr>
    </w:p>
    <w:p w14:paraId="474B9986" w14:textId="77777777" w:rsidR="00485C8A" w:rsidRPr="00501E03" w:rsidRDefault="00485C8A" w:rsidP="00501E03">
      <w:pPr>
        <w:pStyle w:val="ListParagraph"/>
        <w:numPr>
          <w:ilvl w:val="0"/>
          <w:numId w:val="5"/>
        </w:numPr>
        <w:spacing w:after="0" w:line="240" w:lineRule="auto"/>
        <w:ind w:left="450"/>
        <w:jc w:val="both"/>
        <w:rPr>
          <w:sz w:val="20"/>
          <w:szCs w:val="20"/>
        </w:rPr>
      </w:pPr>
      <w:r>
        <w:rPr>
          <w:sz w:val="20"/>
        </w:rPr>
        <w:t>Οι εργαζόμενοι υποχρεούνταν να εκφορτώνουν προϊόντα από φορτηγό σε διαφορετικές τοποθεσίες πελατών.</w:t>
      </w:r>
    </w:p>
    <w:p w14:paraId="3A4D822C" w14:textId="77777777" w:rsidR="00485C8A" w:rsidRPr="00501E03" w:rsidRDefault="00485C8A" w:rsidP="00501E03">
      <w:pPr>
        <w:pStyle w:val="ListParagraph"/>
        <w:numPr>
          <w:ilvl w:val="0"/>
          <w:numId w:val="5"/>
        </w:numPr>
        <w:spacing w:after="0" w:line="240" w:lineRule="auto"/>
        <w:ind w:left="450"/>
        <w:jc w:val="both"/>
        <w:rPr>
          <w:sz w:val="20"/>
          <w:szCs w:val="20"/>
        </w:rPr>
      </w:pPr>
      <w:r>
        <w:rPr>
          <w:sz w:val="20"/>
        </w:rPr>
        <w:t>Η εργασία εκφόρτωσης περιλάμβανε τη χειροκίνητη μεταφορά από το φορτηγό στο έδαφος.</w:t>
      </w:r>
    </w:p>
    <w:p w14:paraId="4A879951" w14:textId="77777777" w:rsidR="00485C8A" w:rsidRPr="00501E03" w:rsidRDefault="00485C8A" w:rsidP="00501E03">
      <w:pPr>
        <w:pStyle w:val="ListParagraph"/>
        <w:numPr>
          <w:ilvl w:val="0"/>
          <w:numId w:val="5"/>
        </w:numPr>
        <w:spacing w:after="0" w:line="240" w:lineRule="auto"/>
        <w:ind w:left="450"/>
        <w:jc w:val="both"/>
        <w:rPr>
          <w:sz w:val="20"/>
          <w:szCs w:val="20"/>
        </w:rPr>
      </w:pPr>
      <w:r>
        <w:rPr>
          <w:sz w:val="20"/>
        </w:rPr>
        <w:t>Τα διαχειριζόμενα φορτία κυμαίνονταν από 40-80 </w:t>
      </w:r>
      <w:proofErr w:type="spellStart"/>
      <w:r>
        <w:rPr>
          <w:sz w:val="20"/>
        </w:rPr>
        <w:t>kg</w:t>
      </w:r>
      <w:proofErr w:type="spellEnd"/>
      <w:r>
        <w:rPr>
          <w:sz w:val="20"/>
        </w:rPr>
        <w:t xml:space="preserve">. </w:t>
      </w:r>
    </w:p>
    <w:p w14:paraId="4F118F44" w14:textId="77777777" w:rsidR="00485C8A" w:rsidRPr="00501E03" w:rsidRDefault="00485C8A" w:rsidP="00501E03">
      <w:pPr>
        <w:pStyle w:val="ListParagraph"/>
        <w:numPr>
          <w:ilvl w:val="0"/>
          <w:numId w:val="5"/>
        </w:numPr>
        <w:spacing w:after="0" w:line="240" w:lineRule="auto"/>
        <w:ind w:left="450"/>
        <w:jc w:val="both"/>
        <w:rPr>
          <w:sz w:val="20"/>
          <w:szCs w:val="20"/>
        </w:rPr>
      </w:pPr>
      <w:r>
        <w:rPr>
          <w:sz w:val="20"/>
        </w:rPr>
        <w:t>Τα φορτία έπρεπε να ανυψωθούν από το φορτηγό και να τοποθετηθούν στο έδαφος.</w:t>
      </w:r>
    </w:p>
    <w:p w14:paraId="6FB2118C" w14:textId="77777777" w:rsidR="00485C8A" w:rsidRPr="00501E03" w:rsidRDefault="00485C8A" w:rsidP="00501E03">
      <w:pPr>
        <w:pStyle w:val="ListParagraph"/>
        <w:numPr>
          <w:ilvl w:val="0"/>
          <w:numId w:val="5"/>
        </w:numPr>
        <w:spacing w:after="0" w:line="240" w:lineRule="auto"/>
        <w:ind w:left="450"/>
        <w:jc w:val="both"/>
        <w:rPr>
          <w:sz w:val="20"/>
          <w:szCs w:val="20"/>
        </w:rPr>
      </w:pPr>
      <w:r>
        <w:rPr>
          <w:sz w:val="20"/>
        </w:rPr>
        <w:t>Οι επιστροφές έπρεπε να ανυψωθούν και να τοποθετηθούν πίσω στο φορτηγό.</w:t>
      </w:r>
    </w:p>
    <w:p w14:paraId="1D580CA4" w14:textId="77777777" w:rsidR="00485C8A" w:rsidRPr="00501E03" w:rsidRDefault="00485C8A" w:rsidP="00501E03">
      <w:pPr>
        <w:pStyle w:val="ListParagraph"/>
        <w:numPr>
          <w:ilvl w:val="0"/>
          <w:numId w:val="5"/>
        </w:numPr>
        <w:spacing w:after="0" w:line="240" w:lineRule="auto"/>
        <w:ind w:left="450"/>
        <w:jc w:val="both"/>
        <w:rPr>
          <w:sz w:val="20"/>
          <w:szCs w:val="20"/>
        </w:rPr>
      </w:pPr>
      <w:r>
        <w:rPr>
          <w:sz w:val="20"/>
        </w:rPr>
        <w:t xml:space="preserve">Για τη δουλειά αυτή χρειάζονταν δύο άτομα. </w:t>
      </w:r>
    </w:p>
    <w:p w14:paraId="55E9AEE4" w14:textId="77777777" w:rsidR="00B96694" w:rsidRPr="00501E03" w:rsidRDefault="00462210" w:rsidP="00501E03">
      <w:pPr>
        <w:pStyle w:val="ListParagraph"/>
        <w:numPr>
          <w:ilvl w:val="0"/>
          <w:numId w:val="5"/>
        </w:numPr>
        <w:spacing w:after="0" w:line="240" w:lineRule="auto"/>
        <w:ind w:left="450"/>
        <w:jc w:val="both"/>
        <w:rPr>
          <w:sz w:val="20"/>
          <w:szCs w:val="20"/>
        </w:rPr>
      </w:pPr>
      <w:r>
        <w:rPr>
          <w:sz w:val="20"/>
        </w:rPr>
        <w:t xml:space="preserve">Ένας εργαζόμενος υπέστη τραυματισμό στη μέση. </w:t>
      </w:r>
    </w:p>
    <w:p w14:paraId="00E74D54" w14:textId="77777777" w:rsidR="008D5FE3" w:rsidRPr="00972742" w:rsidRDefault="008D5FE3" w:rsidP="00501E03">
      <w:pPr>
        <w:spacing w:after="0" w:line="240" w:lineRule="auto"/>
        <w:jc w:val="both"/>
        <w:rPr>
          <w:sz w:val="20"/>
          <w:szCs w:val="20"/>
        </w:rPr>
      </w:pPr>
    </w:p>
    <w:p w14:paraId="448E4397" w14:textId="77777777" w:rsidR="004A6231" w:rsidRPr="00972742" w:rsidRDefault="004A6231" w:rsidP="00501E03">
      <w:pPr>
        <w:spacing w:after="0" w:line="240" w:lineRule="auto"/>
        <w:jc w:val="both"/>
        <w:rPr>
          <w:b/>
          <w:color w:val="4472C4" w:themeColor="accent5"/>
          <w:sz w:val="20"/>
          <w:szCs w:val="20"/>
        </w:rPr>
      </w:pPr>
    </w:p>
    <w:p w14:paraId="20C3DAEA" w14:textId="77777777" w:rsidR="008D5FE3" w:rsidRPr="00501E03" w:rsidRDefault="008D5FE3" w:rsidP="00501E03">
      <w:pPr>
        <w:spacing w:after="0" w:line="240" w:lineRule="auto"/>
        <w:jc w:val="both"/>
        <w:rPr>
          <w:b/>
          <w:color w:val="4472C4" w:themeColor="accent5"/>
          <w:sz w:val="20"/>
          <w:szCs w:val="20"/>
        </w:rPr>
      </w:pPr>
      <w:r>
        <w:rPr>
          <w:b/>
          <w:color w:val="4472C4" w:themeColor="accent5"/>
          <w:sz w:val="20"/>
        </w:rPr>
        <w:t>Κατά τη διερεύνηση του ατυχήματος διαπιστώθηκε ότι:</w:t>
      </w:r>
    </w:p>
    <w:p w14:paraId="14B206E5" w14:textId="77777777" w:rsidR="00195BC6" w:rsidRPr="00972742" w:rsidRDefault="00195BC6" w:rsidP="00501E03">
      <w:pPr>
        <w:spacing w:after="0" w:line="240" w:lineRule="auto"/>
        <w:jc w:val="both"/>
        <w:rPr>
          <w:sz w:val="20"/>
          <w:szCs w:val="20"/>
        </w:rPr>
      </w:pPr>
    </w:p>
    <w:p w14:paraId="0CBF4866" w14:textId="77777777" w:rsidR="001471FA" w:rsidRPr="00501E03" w:rsidRDefault="00485C8A" w:rsidP="00501E03">
      <w:pPr>
        <w:pStyle w:val="ListParagraph"/>
        <w:numPr>
          <w:ilvl w:val="0"/>
          <w:numId w:val="4"/>
        </w:numPr>
        <w:spacing w:after="0" w:line="240" w:lineRule="auto"/>
        <w:ind w:left="450"/>
        <w:jc w:val="both"/>
        <w:rPr>
          <w:sz w:val="20"/>
          <w:szCs w:val="20"/>
        </w:rPr>
      </w:pPr>
      <w:r>
        <w:rPr>
          <w:sz w:val="20"/>
        </w:rPr>
        <w:t xml:space="preserve">Το βάρος του φορτίου ήταν υπερβολικά μεγάλο για την ανύψωσή του από δύο άτομα. </w:t>
      </w:r>
    </w:p>
    <w:p w14:paraId="2149364A" w14:textId="77777777" w:rsidR="001471FA" w:rsidRPr="00501E03" w:rsidRDefault="001471FA" w:rsidP="00501E03">
      <w:pPr>
        <w:pStyle w:val="ListParagraph"/>
        <w:numPr>
          <w:ilvl w:val="0"/>
          <w:numId w:val="4"/>
        </w:numPr>
        <w:spacing w:after="0" w:line="240" w:lineRule="auto"/>
        <w:ind w:left="450"/>
        <w:jc w:val="both"/>
        <w:rPr>
          <w:sz w:val="20"/>
          <w:szCs w:val="20"/>
        </w:rPr>
      </w:pPr>
      <w:r>
        <w:rPr>
          <w:sz w:val="20"/>
        </w:rPr>
        <w:t xml:space="preserve">Η απόσταση των χεριών από τη μέση κατά τη διάρκεια της ομαδικής ανύψωσης είχε ως αποτέλεσμα οι άνω βραχίονες να έχουν εκταθεί μακριά από το σώμα. </w:t>
      </w:r>
    </w:p>
    <w:p w14:paraId="10B4886E" w14:textId="77777777" w:rsidR="001471FA" w:rsidRPr="00501E03" w:rsidRDefault="001471FA" w:rsidP="00501E03">
      <w:pPr>
        <w:pStyle w:val="ListParagraph"/>
        <w:numPr>
          <w:ilvl w:val="0"/>
          <w:numId w:val="4"/>
        </w:numPr>
        <w:spacing w:after="0" w:line="240" w:lineRule="auto"/>
        <w:ind w:left="450"/>
        <w:jc w:val="both"/>
        <w:rPr>
          <w:sz w:val="20"/>
          <w:szCs w:val="20"/>
        </w:rPr>
      </w:pPr>
      <w:r>
        <w:rPr>
          <w:sz w:val="20"/>
        </w:rPr>
        <w:t xml:space="preserve">Η διαδρομή της κατακόρυφης ανύψωσης κατά τη διάρκεια της ομαδικής ανύψωσης είχε ως αποτέλεσμα τα χέρια του χειριστή να βρεθούν στο επίπεδο του δαπέδου στο τέλος της ομαδικής ανύψωσης. </w:t>
      </w:r>
    </w:p>
    <w:p w14:paraId="78E2ABBD" w14:textId="77777777" w:rsidR="001471FA" w:rsidRPr="00501E03" w:rsidRDefault="001471FA" w:rsidP="00501E03">
      <w:pPr>
        <w:pStyle w:val="ListParagraph"/>
        <w:numPr>
          <w:ilvl w:val="0"/>
          <w:numId w:val="4"/>
        </w:numPr>
        <w:spacing w:after="0" w:line="240" w:lineRule="auto"/>
        <w:ind w:left="450"/>
        <w:jc w:val="both"/>
        <w:rPr>
          <w:sz w:val="20"/>
          <w:szCs w:val="20"/>
        </w:rPr>
      </w:pPr>
      <w:r>
        <w:rPr>
          <w:sz w:val="20"/>
        </w:rPr>
        <w:t>Η πρόσφυση στο φορτίο ήταν κακή κατά τη διάρκεια της ομαδικής ανύψωσης, καθώς το φορτίο ήταν ογκώδες και δύσκολο στον χειρισμό.</w:t>
      </w:r>
    </w:p>
    <w:p w14:paraId="2AE37250" w14:textId="77777777" w:rsidR="001471FA" w:rsidRPr="00501E03" w:rsidRDefault="001471FA" w:rsidP="00501E03">
      <w:pPr>
        <w:pStyle w:val="ListParagraph"/>
        <w:numPr>
          <w:ilvl w:val="0"/>
          <w:numId w:val="4"/>
        </w:numPr>
        <w:spacing w:after="0" w:line="240" w:lineRule="auto"/>
        <w:ind w:left="450"/>
        <w:jc w:val="both"/>
        <w:rPr>
          <w:sz w:val="20"/>
          <w:szCs w:val="20"/>
        </w:rPr>
      </w:pPr>
      <w:r>
        <w:rPr>
          <w:sz w:val="20"/>
        </w:rPr>
        <w:t>Η θέση του φορτίου στο σημείο εκκίνησης της ανύψωσης απαιτούσε τη συγκράτηση ή τον χειρισμό του σε απόσταση από τον κορμό και με στρίψιμο του κορμού.</w:t>
      </w:r>
    </w:p>
    <w:p w14:paraId="72A53C41" w14:textId="77777777" w:rsidR="00BD672C" w:rsidRPr="00501E03" w:rsidRDefault="001471FA" w:rsidP="00501E03">
      <w:pPr>
        <w:pStyle w:val="ListParagraph"/>
        <w:numPr>
          <w:ilvl w:val="0"/>
          <w:numId w:val="4"/>
        </w:numPr>
        <w:spacing w:after="0" w:line="240" w:lineRule="auto"/>
        <w:ind w:left="450"/>
        <w:jc w:val="both"/>
        <w:rPr>
          <w:sz w:val="20"/>
          <w:szCs w:val="20"/>
        </w:rPr>
      </w:pPr>
      <w:r>
        <w:rPr>
          <w:sz w:val="20"/>
        </w:rPr>
        <w:t>Η σωματική προσπάθεια ήταν υπερβολικά επίπονη.</w:t>
      </w:r>
    </w:p>
    <w:p w14:paraId="4805779C" w14:textId="77777777" w:rsidR="000E1185" w:rsidRPr="00972742" w:rsidRDefault="000E1185" w:rsidP="00501E03">
      <w:pPr>
        <w:spacing w:after="0" w:line="240" w:lineRule="auto"/>
        <w:jc w:val="both"/>
        <w:rPr>
          <w:sz w:val="20"/>
          <w:szCs w:val="20"/>
        </w:rPr>
      </w:pPr>
    </w:p>
    <w:p w14:paraId="14CA6807" w14:textId="77777777" w:rsidR="00B67EAE" w:rsidRPr="00972742" w:rsidRDefault="00B67EAE" w:rsidP="00501E03">
      <w:pPr>
        <w:spacing w:after="0" w:line="240" w:lineRule="auto"/>
        <w:jc w:val="both"/>
        <w:rPr>
          <w:sz w:val="20"/>
          <w:szCs w:val="20"/>
        </w:rPr>
      </w:pPr>
    </w:p>
    <w:p w14:paraId="34058B8B" w14:textId="77777777" w:rsidR="00CB5C5D" w:rsidRPr="00501E03" w:rsidRDefault="00CB5C5D" w:rsidP="00501E03">
      <w:pPr>
        <w:spacing w:after="0" w:line="240" w:lineRule="auto"/>
        <w:jc w:val="both"/>
        <w:rPr>
          <w:b/>
          <w:color w:val="4472C4" w:themeColor="accent5"/>
          <w:sz w:val="20"/>
          <w:szCs w:val="20"/>
        </w:rPr>
      </w:pPr>
      <w:r>
        <w:rPr>
          <w:b/>
          <w:color w:val="4472C4" w:themeColor="accent5"/>
          <w:sz w:val="20"/>
        </w:rPr>
        <w:t>Τι προκάλεσε το ατύχημα;</w:t>
      </w:r>
    </w:p>
    <w:p w14:paraId="53C71369" w14:textId="77777777" w:rsidR="00195BC6" w:rsidRPr="00501E03" w:rsidRDefault="00195BC6" w:rsidP="00501E03">
      <w:pPr>
        <w:spacing w:after="0" w:line="240" w:lineRule="auto"/>
        <w:jc w:val="both"/>
        <w:rPr>
          <w:sz w:val="20"/>
          <w:szCs w:val="20"/>
          <w:lang w:val="en-GB"/>
        </w:rPr>
      </w:pPr>
    </w:p>
    <w:p w14:paraId="17407AAA" w14:textId="77777777" w:rsidR="00222586" w:rsidRPr="00501E03" w:rsidRDefault="00EA48AC" w:rsidP="00501E03">
      <w:pPr>
        <w:pStyle w:val="ListParagraph"/>
        <w:numPr>
          <w:ilvl w:val="0"/>
          <w:numId w:val="11"/>
        </w:numPr>
        <w:spacing w:after="0" w:line="240" w:lineRule="auto"/>
        <w:ind w:left="450"/>
        <w:jc w:val="both"/>
        <w:rPr>
          <w:b/>
          <w:color w:val="4472C4" w:themeColor="accent5"/>
          <w:sz w:val="20"/>
          <w:szCs w:val="20"/>
        </w:rPr>
      </w:pPr>
      <w:r>
        <w:rPr>
          <w:sz w:val="20"/>
        </w:rPr>
        <w:t xml:space="preserve">Δεν υπήρχε σχεδιασμός των συστημάτων εργασίας για τον χειρισμό </w:t>
      </w:r>
      <w:proofErr w:type="spellStart"/>
      <w:r>
        <w:rPr>
          <w:sz w:val="20"/>
        </w:rPr>
        <w:t>βαρέων</w:t>
      </w:r>
      <w:proofErr w:type="spellEnd"/>
      <w:r>
        <w:rPr>
          <w:sz w:val="20"/>
        </w:rPr>
        <w:t xml:space="preserve"> φορτίων κατά την εκφόρτωση και τη φόρτωση του οχήματος.</w:t>
      </w:r>
    </w:p>
    <w:p w14:paraId="1FAE853B" w14:textId="77777777" w:rsidR="00222586" w:rsidRPr="00501E03" w:rsidRDefault="00222586" w:rsidP="00501E03">
      <w:pPr>
        <w:pStyle w:val="ListParagraph"/>
        <w:numPr>
          <w:ilvl w:val="0"/>
          <w:numId w:val="11"/>
        </w:numPr>
        <w:spacing w:after="0" w:line="240" w:lineRule="auto"/>
        <w:ind w:left="450"/>
        <w:jc w:val="both"/>
        <w:rPr>
          <w:sz w:val="20"/>
          <w:szCs w:val="20"/>
        </w:rPr>
      </w:pPr>
      <w:r>
        <w:rPr>
          <w:sz w:val="20"/>
        </w:rPr>
        <w:t xml:space="preserve">Τα φορτία διέφεραν ως προς το βάρος, αλλά δεν υπήρχαν ετικέτες στις οποίες να αναγράφεται το βάρος τους. </w:t>
      </w:r>
    </w:p>
    <w:p w14:paraId="0539E820" w14:textId="77777777" w:rsidR="00EA48AC" w:rsidRPr="00501E03" w:rsidRDefault="00EA48AC" w:rsidP="00501E03">
      <w:pPr>
        <w:pStyle w:val="ListParagraph"/>
        <w:numPr>
          <w:ilvl w:val="0"/>
          <w:numId w:val="11"/>
        </w:numPr>
        <w:spacing w:after="0" w:line="240" w:lineRule="auto"/>
        <w:ind w:left="450"/>
        <w:jc w:val="both"/>
        <w:rPr>
          <w:b/>
          <w:color w:val="4472C4" w:themeColor="accent5"/>
          <w:sz w:val="20"/>
          <w:szCs w:val="20"/>
        </w:rPr>
      </w:pPr>
      <w:r>
        <w:rPr>
          <w:sz w:val="20"/>
        </w:rPr>
        <w:t xml:space="preserve">Δεν υπήρχαν μηχανικά βοηθήματα χειρισμού διαθέσιμα στο χώρο εργασίας· π.χ. το φορτηγό διανομής δεν ήταν εξοπλισμένο με οπίσθιο ανελκυστήρα για την καταβίβαση και την ανύψωση </w:t>
      </w:r>
      <w:proofErr w:type="spellStart"/>
      <w:r>
        <w:rPr>
          <w:sz w:val="20"/>
        </w:rPr>
        <w:t>βαρέων</w:t>
      </w:r>
      <w:proofErr w:type="spellEnd"/>
      <w:r>
        <w:rPr>
          <w:sz w:val="20"/>
        </w:rPr>
        <w:t xml:space="preserve"> φορτίων με ασφαλή τρόπο, και δεν υπήρχε καροτσάκι ή χειροκίνητο ανυψωτικό </w:t>
      </w:r>
      <w:proofErr w:type="spellStart"/>
      <w:r>
        <w:rPr>
          <w:sz w:val="20"/>
        </w:rPr>
        <w:t>αμαξίδιο</w:t>
      </w:r>
      <w:proofErr w:type="spellEnd"/>
      <w:r>
        <w:rPr>
          <w:sz w:val="20"/>
        </w:rPr>
        <w:t xml:space="preserve"> για την ασφαλή μεταφορά φορτίων σε μεγάλη απόσταση.</w:t>
      </w:r>
    </w:p>
    <w:p w14:paraId="198AD63D" w14:textId="77777777" w:rsidR="00EA48AC" w:rsidRPr="00501E03" w:rsidRDefault="00EA48AC" w:rsidP="00501E03">
      <w:pPr>
        <w:pStyle w:val="ListParagraph"/>
        <w:numPr>
          <w:ilvl w:val="0"/>
          <w:numId w:val="11"/>
        </w:numPr>
        <w:spacing w:after="0" w:line="240" w:lineRule="auto"/>
        <w:ind w:left="450"/>
        <w:jc w:val="both"/>
        <w:rPr>
          <w:b/>
          <w:color w:val="4472C4" w:themeColor="accent5"/>
          <w:sz w:val="20"/>
          <w:szCs w:val="20"/>
        </w:rPr>
      </w:pPr>
      <w:r>
        <w:rPr>
          <w:sz w:val="20"/>
        </w:rPr>
        <w:t>Δεν υπήρχε σχεδιασμός για την παράδοση φορτίων που είναι δύσχρηστα και δύσκολα ως προς τον χειρισμό τους.</w:t>
      </w:r>
    </w:p>
    <w:p w14:paraId="7E49A7FD" w14:textId="77777777" w:rsidR="00EA48AC" w:rsidRPr="00501E03" w:rsidRDefault="00EA48AC" w:rsidP="00501E03">
      <w:pPr>
        <w:pStyle w:val="ListParagraph"/>
        <w:numPr>
          <w:ilvl w:val="0"/>
          <w:numId w:val="11"/>
        </w:numPr>
        <w:spacing w:after="0" w:line="240" w:lineRule="auto"/>
        <w:ind w:left="450"/>
        <w:jc w:val="both"/>
        <w:rPr>
          <w:b/>
          <w:color w:val="4472C4" w:themeColor="accent5"/>
          <w:sz w:val="20"/>
          <w:szCs w:val="20"/>
        </w:rPr>
      </w:pPr>
      <w:r>
        <w:rPr>
          <w:sz w:val="20"/>
        </w:rPr>
        <w:lastRenderedPageBreak/>
        <w:t>Δεν είχε γίνει συνεννόηση με τους πελάτες για τη διασφάλιση της ασφαλούς παράδοσης φορτίων επιτόπου, με αποτέλεσμα να πρέπει π.χ. να μεταφέρονται φορτία σε μεγάλη απόσταση λόγω έλλειψης στάθμευσης κοντά στο προβλεπόμενο σημείο παράδοσης.</w:t>
      </w:r>
    </w:p>
    <w:p w14:paraId="6ABEA033" w14:textId="77777777" w:rsidR="00F25F7A" w:rsidRPr="00972742" w:rsidRDefault="00F25F7A" w:rsidP="00501E03">
      <w:pPr>
        <w:spacing w:after="0" w:line="240" w:lineRule="auto"/>
        <w:jc w:val="both"/>
        <w:rPr>
          <w:sz w:val="20"/>
          <w:szCs w:val="20"/>
        </w:rPr>
      </w:pPr>
    </w:p>
    <w:p w14:paraId="2E14B825" w14:textId="77777777" w:rsidR="00B67EAE" w:rsidRPr="00972742" w:rsidRDefault="00B67EAE" w:rsidP="00501E03">
      <w:pPr>
        <w:spacing w:after="0" w:line="240" w:lineRule="auto"/>
        <w:jc w:val="both"/>
        <w:rPr>
          <w:sz w:val="20"/>
          <w:szCs w:val="20"/>
        </w:rPr>
      </w:pPr>
    </w:p>
    <w:p w14:paraId="6BE92154" w14:textId="77777777" w:rsidR="00CB5C5D" w:rsidRPr="00501E03" w:rsidRDefault="00CB5C5D" w:rsidP="00501E03">
      <w:pPr>
        <w:spacing w:after="0" w:line="240" w:lineRule="auto"/>
        <w:jc w:val="both"/>
        <w:rPr>
          <w:b/>
          <w:color w:val="4472C4" w:themeColor="accent5"/>
          <w:sz w:val="20"/>
          <w:szCs w:val="20"/>
        </w:rPr>
      </w:pPr>
      <w:r>
        <w:rPr>
          <w:b/>
          <w:color w:val="4472C4" w:themeColor="accent5"/>
          <w:sz w:val="20"/>
        </w:rPr>
        <w:t>Μέτρα προστασίας και πρόληψης</w:t>
      </w:r>
    </w:p>
    <w:p w14:paraId="69B09510" w14:textId="77777777" w:rsidR="00195BC6" w:rsidRPr="00972742" w:rsidRDefault="00195BC6" w:rsidP="00501E03">
      <w:pPr>
        <w:spacing w:after="0" w:line="240" w:lineRule="auto"/>
        <w:jc w:val="both"/>
        <w:rPr>
          <w:sz w:val="20"/>
          <w:szCs w:val="20"/>
        </w:rPr>
      </w:pPr>
    </w:p>
    <w:p w14:paraId="36538943" w14:textId="77777777" w:rsidR="00820CF9" w:rsidRPr="00501E03" w:rsidRDefault="00A74CBB" w:rsidP="00501E03">
      <w:pPr>
        <w:spacing w:after="0" w:line="240" w:lineRule="auto"/>
        <w:jc w:val="both"/>
        <w:rPr>
          <w:sz w:val="20"/>
          <w:szCs w:val="20"/>
        </w:rPr>
      </w:pPr>
      <w:r>
        <w:rPr>
          <w:sz w:val="20"/>
        </w:rPr>
        <w:t>Υπάρχουν τρόποι αντιμετώπισης των παραγόντων κινδύνου του χειρωνακτικού χειρισμού. Οι εργοδότες έχουν την ευκαιρία να αναπτύξουν κατάλληλες λύσεις σε διαβούλευση με το προσωπικό για την αντιμετώπιση αυτών των ζητημάτων, τη μείωση του κινδύνου μυοσκελετικών τραυματισμών και τη μείωση του κόστους για τις επιχειρήσεις.</w:t>
      </w:r>
    </w:p>
    <w:p w14:paraId="3DC5B23F" w14:textId="77777777" w:rsidR="00E3648E" w:rsidRPr="00972742" w:rsidRDefault="00E3648E" w:rsidP="00501E03">
      <w:pPr>
        <w:spacing w:after="0" w:line="240" w:lineRule="auto"/>
        <w:jc w:val="both"/>
        <w:rPr>
          <w:sz w:val="20"/>
          <w:szCs w:val="20"/>
        </w:rPr>
      </w:pPr>
    </w:p>
    <w:p w14:paraId="6453EBBC" w14:textId="77777777" w:rsidR="00E3648E" w:rsidRPr="00501E03" w:rsidRDefault="00E3648E" w:rsidP="00501E03">
      <w:pPr>
        <w:spacing w:after="0" w:line="240" w:lineRule="auto"/>
        <w:jc w:val="both"/>
        <w:rPr>
          <w:sz w:val="20"/>
          <w:szCs w:val="20"/>
        </w:rPr>
      </w:pPr>
      <w:r>
        <w:rPr>
          <w:sz w:val="20"/>
        </w:rPr>
        <w:t>Εάν οι εργαζόμενοι πρέπει να εκτελούν δραστηριότητες χειρωνακτικού χειρισμού, θα πρέπει να ενημερώνονται για τους κινδύνους ατυχημάτων και κακής υγείας, ιδίως όσον αφορά τις επιμέρους εργασίες τους.  Οι εργαζόμενοι θα πρέπει επίσης να λαμβάνουν κατάρτιση σχετικά με την ορθή χρήση του εξοπλισμού και τις τεχνικές ασφαλούς χειρισμού που πρέπει να ακολουθούνται.</w:t>
      </w:r>
    </w:p>
    <w:p w14:paraId="028764C4" w14:textId="77777777" w:rsidR="00B67EAE" w:rsidRPr="00972742" w:rsidRDefault="00B67EAE" w:rsidP="00501E03">
      <w:pPr>
        <w:spacing w:after="0" w:line="240" w:lineRule="auto"/>
        <w:jc w:val="both"/>
        <w:rPr>
          <w:sz w:val="20"/>
          <w:szCs w:val="20"/>
        </w:rPr>
      </w:pPr>
    </w:p>
    <w:p w14:paraId="1F316209" w14:textId="65227243" w:rsidR="00C2137E" w:rsidRDefault="00C2137E" w:rsidP="00501E03">
      <w:pPr>
        <w:spacing w:after="0" w:line="240" w:lineRule="auto"/>
        <w:jc w:val="both"/>
        <w:rPr>
          <w:b/>
          <w:sz w:val="20"/>
          <w:u w:val="single"/>
        </w:rPr>
      </w:pPr>
      <w:r w:rsidRPr="00435175">
        <w:rPr>
          <w:b/>
          <w:sz w:val="20"/>
          <w:u w:val="single"/>
        </w:rPr>
        <w:t>Για περισσότερες πληροφορίες:</w:t>
      </w:r>
    </w:p>
    <w:p w14:paraId="75865931" w14:textId="77777777" w:rsidR="00435175" w:rsidRPr="00435175" w:rsidRDefault="00435175" w:rsidP="00501E03">
      <w:pPr>
        <w:spacing w:after="0" w:line="240" w:lineRule="auto"/>
        <w:jc w:val="both"/>
        <w:rPr>
          <w:b/>
          <w:sz w:val="20"/>
          <w:szCs w:val="20"/>
          <w:u w:val="single"/>
        </w:rPr>
      </w:pPr>
      <w:bookmarkStart w:id="0" w:name="_GoBack"/>
      <w:bookmarkEnd w:id="0"/>
    </w:p>
    <w:p w14:paraId="448ABAE7" w14:textId="77777777" w:rsidR="00C2137E" w:rsidRDefault="00435175" w:rsidP="00501E03">
      <w:pPr>
        <w:spacing w:after="0" w:line="240" w:lineRule="auto"/>
        <w:jc w:val="both"/>
        <w:rPr>
          <w:rStyle w:val="Hyperlink"/>
          <w:sz w:val="20"/>
          <w:szCs w:val="20"/>
        </w:rPr>
      </w:pPr>
      <w:hyperlink r:id="rId7" w:history="1">
        <w:r w:rsidR="00B17E02">
          <w:rPr>
            <w:rStyle w:val="Hyperlink"/>
            <w:sz w:val="20"/>
          </w:rPr>
          <w:t>https://www.hsa.ie/eng/publications_and_forms/publications/manual_handling_and_musculoskeletal_disorders/guide_on_manual_handling_risk_management_in_transport_and_storage.pdf</w:t>
        </w:r>
      </w:hyperlink>
    </w:p>
    <w:sectPr w:rsidR="00C2137E" w:rsidSect="00B67EAE">
      <w:headerReference w:type="even" r:id="rId8"/>
      <w:headerReference w:type="default" r:id="rId9"/>
      <w:footerReference w:type="even" r:id="rId10"/>
      <w:footerReference w:type="default" r:id="rId11"/>
      <w:headerReference w:type="first" r:id="rId12"/>
      <w:footerReference w:type="first" r:id="rId13"/>
      <w:pgSz w:w="11906" w:h="16838"/>
      <w:pgMar w:top="1221" w:right="1080" w:bottom="1440" w:left="108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D49DA" w14:textId="77777777" w:rsidR="002774C2" w:rsidRDefault="002774C2" w:rsidP="008D5FE3">
      <w:pPr>
        <w:spacing w:after="0" w:line="240" w:lineRule="auto"/>
      </w:pPr>
      <w:r>
        <w:separator/>
      </w:r>
    </w:p>
  </w:endnote>
  <w:endnote w:type="continuationSeparator" w:id="0">
    <w:p w14:paraId="15DA319A" w14:textId="77777777" w:rsidR="002774C2" w:rsidRDefault="002774C2" w:rsidP="008D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F096F" w14:textId="77777777" w:rsidR="00DD7A7C" w:rsidRDefault="00DD7A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AC3D" w14:textId="77777777" w:rsidR="00060034" w:rsidRDefault="00060034" w:rsidP="00060034">
    <w:pPr>
      <w:pStyle w:val="Header"/>
      <w:rPr>
        <w:sz w:val="16"/>
        <w:szCs w:val="16"/>
        <w:lang w:val="en-GB"/>
      </w:rPr>
    </w:pPr>
  </w:p>
  <w:p w14:paraId="44419FFD" w14:textId="77777777" w:rsidR="00060034" w:rsidRDefault="00060034" w:rsidP="007E5609">
    <w:pPr>
      <w:pStyle w:val="Header"/>
      <w:rPr>
        <w:sz w:val="16"/>
        <w:szCs w:val="16"/>
      </w:rPr>
    </w:pPr>
    <w:r>
      <w:rPr>
        <w:noProof/>
        <w:lang w:eastAsia="el-GR"/>
      </w:rPr>
      <w:drawing>
        <wp:inline distT="0" distB="0" distL="0" distR="0" wp14:anchorId="5A48B382" wp14:editId="321B7B16">
          <wp:extent cx="1043788" cy="634790"/>
          <wp:effectExtent l="0" t="0" r="444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630" cy="659020"/>
                  </a:xfrm>
                  <a:prstGeom prst="rect">
                    <a:avLst/>
                  </a:prstGeom>
                  <a:noFill/>
                </pic:spPr>
              </pic:pic>
            </a:graphicData>
          </a:graphic>
        </wp:inline>
      </w:drawing>
    </w:r>
  </w:p>
  <w:p w14:paraId="24A38241" w14:textId="77777777" w:rsidR="00060034" w:rsidRDefault="00060034" w:rsidP="007E5609">
    <w:pPr>
      <w:pStyle w:val="Header"/>
      <w:rPr>
        <w:sz w:val="16"/>
        <w:szCs w:val="16"/>
        <w:lang w:val="en-GB"/>
      </w:rPr>
    </w:pPr>
  </w:p>
  <w:p w14:paraId="2FC8CD2F" w14:textId="77777777" w:rsidR="00060034" w:rsidRDefault="00060034" w:rsidP="007E5609">
    <w:pPr>
      <w:pStyle w:val="Header"/>
    </w:pPr>
    <w:r>
      <w:rPr>
        <w:sz w:val="16"/>
      </w:rPr>
      <w:t>Ατυχήματα: Σταματήστε τα πριν σας σταματήσουν!</w:t>
    </w:r>
  </w:p>
  <w:p w14:paraId="4574482F" w14:textId="77777777" w:rsidR="00060034" w:rsidRPr="00972742" w:rsidRDefault="00060034" w:rsidP="00060034">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BC3A" w14:textId="77777777" w:rsidR="00DD7A7C" w:rsidRDefault="00DD7A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D7BEC" w14:textId="77777777" w:rsidR="002774C2" w:rsidRDefault="002774C2" w:rsidP="008D5FE3">
      <w:pPr>
        <w:spacing w:after="0" w:line="240" w:lineRule="auto"/>
      </w:pPr>
      <w:r>
        <w:separator/>
      </w:r>
    </w:p>
  </w:footnote>
  <w:footnote w:type="continuationSeparator" w:id="0">
    <w:p w14:paraId="5EF396AA" w14:textId="77777777" w:rsidR="002774C2" w:rsidRDefault="002774C2" w:rsidP="008D5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FF539" w14:textId="77777777" w:rsidR="00DD7A7C" w:rsidRDefault="00DD7A7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1452B" w14:textId="1A0177F8" w:rsidR="00060034" w:rsidRDefault="00033260" w:rsidP="007E5609">
    <w:pPr>
      <w:pStyle w:val="Header"/>
      <w:jc w:val="right"/>
      <w:rPr>
        <w:b/>
        <w:noProof/>
        <w:sz w:val="18"/>
        <w:szCs w:val="18"/>
      </w:rPr>
    </w:pPr>
    <w:r>
      <w:rPr>
        <w:noProof/>
        <w:lang w:eastAsia="el-GR"/>
      </w:rPr>
      <w:drawing>
        <wp:inline distT="0" distB="0" distL="0" distR="0" wp14:anchorId="02C39E38" wp14:editId="337B3DE0">
          <wp:extent cx="844611" cy="864484"/>
          <wp:effectExtent l="0" t="0" r="0" b="0"/>
          <wp:docPr id="2" name="Picture 2" descr="A circular diagram with different types of vehi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ircular diagram with different types of vehicl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9821" cy="869817"/>
                  </a:xfrm>
                  <a:prstGeom prst="rect">
                    <a:avLst/>
                  </a:prstGeom>
                </pic:spPr>
              </pic:pic>
            </a:graphicData>
          </a:graphic>
        </wp:inline>
      </w:drawing>
    </w:r>
    <w:r w:rsidR="00060034">
      <w:t xml:space="preserve">  </w:t>
    </w:r>
  </w:p>
  <w:p w14:paraId="4F875EB5" w14:textId="77777777" w:rsidR="008D5FE3" w:rsidRPr="00060034" w:rsidRDefault="004A6231" w:rsidP="007E5609">
    <w:pPr>
      <w:pStyle w:val="Header"/>
      <w:jc w:val="right"/>
    </w:pPr>
    <w:r>
      <w:rPr>
        <w:b/>
        <w:sz w:val="18"/>
      </w:rPr>
      <w:t>Εκστρατεία της SLIC 2024 — Εργατικά ατυχήματα</w:t>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6C4AE" w14:textId="77777777" w:rsidR="00DD7A7C" w:rsidRDefault="00DD7A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A00"/>
    <w:multiLevelType w:val="hybridMultilevel"/>
    <w:tmpl w:val="B4FCC17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8E02B66"/>
    <w:multiLevelType w:val="hybridMultilevel"/>
    <w:tmpl w:val="B484CF5A"/>
    <w:lvl w:ilvl="0" w:tplc="2B5CCE5A">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F50EFB"/>
    <w:multiLevelType w:val="hybridMultilevel"/>
    <w:tmpl w:val="EBC0B60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3BF0764"/>
    <w:multiLevelType w:val="hybridMultilevel"/>
    <w:tmpl w:val="851ADB86"/>
    <w:lvl w:ilvl="0" w:tplc="04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C52A27"/>
    <w:multiLevelType w:val="hybridMultilevel"/>
    <w:tmpl w:val="5C5A625A"/>
    <w:lvl w:ilvl="0" w:tplc="69F0734A">
      <w:start w:val="5"/>
      <w:numFmt w:val="bullet"/>
      <w:lvlText w:val="-"/>
      <w:lvlJc w:val="left"/>
      <w:pPr>
        <w:ind w:left="720" w:hanging="360"/>
      </w:pPr>
      <w:rPr>
        <w:rFonts w:ascii="Verdana" w:eastAsiaTheme="minorHAnsi" w:hAnsi="Verdana"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04C046D"/>
    <w:multiLevelType w:val="hybridMultilevel"/>
    <w:tmpl w:val="D49869DC"/>
    <w:lvl w:ilvl="0" w:tplc="04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6FB015E"/>
    <w:multiLevelType w:val="hybridMultilevel"/>
    <w:tmpl w:val="B692866E"/>
    <w:lvl w:ilvl="0" w:tplc="39A49A80">
      <w:numFmt w:val="bullet"/>
      <w:lvlText w:val="-"/>
      <w:lvlJc w:val="left"/>
      <w:pPr>
        <w:ind w:left="720" w:hanging="360"/>
      </w:pPr>
      <w:rPr>
        <w:rFonts w:ascii="Verdana" w:eastAsiaTheme="minorHAnsi" w:hAnsi="Verdana"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37C07356"/>
    <w:multiLevelType w:val="hybridMultilevel"/>
    <w:tmpl w:val="01BAB0E0"/>
    <w:lvl w:ilvl="0" w:tplc="2B5CCE5A">
      <w:start w:val="1"/>
      <w:numFmt w:val="bullet"/>
      <w:lvlText w:val=""/>
      <w:lvlJc w:val="left"/>
      <w:pPr>
        <w:ind w:left="450" w:hanging="360"/>
      </w:pPr>
      <w:rPr>
        <w:rFonts w:ascii="Wingdings" w:hAnsi="Wingdings" w:hint="default"/>
        <w:color w:val="auto"/>
      </w:rPr>
    </w:lvl>
    <w:lvl w:ilvl="1" w:tplc="18090003" w:tentative="1">
      <w:start w:val="1"/>
      <w:numFmt w:val="bullet"/>
      <w:lvlText w:val="o"/>
      <w:lvlJc w:val="left"/>
      <w:pPr>
        <w:ind w:left="1170" w:hanging="360"/>
      </w:pPr>
      <w:rPr>
        <w:rFonts w:ascii="Courier New" w:hAnsi="Courier New" w:cs="Courier New" w:hint="default"/>
      </w:rPr>
    </w:lvl>
    <w:lvl w:ilvl="2" w:tplc="18090005" w:tentative="1">
      <w:start w:val="1"/>
      <w:numFmt w:val="bullet"/>
      <w:lvlText w:val=""/>
      <w:lvlJc w:val="left"/>
      <w:pPr>
        <w:ind w:left="1890" w:hanging="360"/>
      </w:pPr>
      <w:rPr>
        <w:rFonts w:ascii="Wingdings" w:hAnsi="Wingdings" w:hint="default"/>
      </w:rPr>
    </w:lvl>
    <w:lvl w:ilvl="3" w:tplc="18090001" w:tentative="1">
      <w:start w:val="1"/>
      <w:numFmt w:val="bullet"/>
      <w:lvlText w:val=""/>
      <w:lvlJc w:val="left"/>
      <w:pPr>
        <w:ind w:left="2610" w:hanging="360"/>
      </w:pPr>
      <w:rPr>
        <w:rFonts w:ascii="Symbol" w:hAnsi="Symbol" w:hint="default"/>
      </w:rPr>
    </w:lvl>
    <w:lvl w:ilvl="4" w:tplc="18090003" w:tentative="1">
      <w:start w:val="1"/>
      <w:numFmt w:val="bullet"/>
      <w:lvlText w:val="o"/>
      <w:lvlJc w:val="left"/>
      <w:pPr>
        <w:ind w:left="3330" w:hanging="360"/>
      </w:pPr>
      <w:rPr>
        <w:rFonts w:ascii="Courier New" w:hAnsi="Courier New" w:cs="Courier New" w:hint="default"/>
      </w:rPr>
    </w:lvl>
    <w:lvl w:ilvl="5" w:tplc="18090005" w:tentative="1">
      <w:start w:val="1"/>
      <w:numFmt w:val="bullet"/>
      <w:lvlText w:val=""/>
      <w:lvlJc w:val="left"/>
      <w:pPr>
        <w:ind w:left="4050" w:hanging="360"/>
      </w:pPr>
      <w:rPr>
        <w:rFonts w:ascii="Wingdings" w:hAnsi="Wingdings" w:hint="default"/>
      </w:rPr>
    </w:lvl>
    <w:lvl w:ilvl="6" w:tplc="18090001" w:tentative="1">
      <w:start w:val="1"/>
      <w:numFmt w:val="bullet"/>
      <w:lvlText w:val=""/>
      <w:lvlJc w:val="left"/>
      <w:pPr>
        <w:ind w:left="4770" w:hanging="360"/>
      </w:pPr>
      <w:rPr>
        <w:rFonts w:ascii="Symbol" w:hAnsi="Symbol" w:hint="default"/>
      </w:rPr>
    </w:lvl>
    <w:lvl w:ilvl="7" w:tplc="18090003" w:tentative="1">
      <w:start w:val="1"/>
      <w:numFmt w:val="bullet"/>
      <w:lvlText w:val="o"/>
      <w:lvlJc w:val="left"/>
      <w:pPr>
        <w:ind w:left="5490" w:hanging="360"/>
      </w:pPr>
      <w:rPr>
        <w:rFonts w:ascii="Courier New" w:hAnsi="Courier New" w:cs="Courier New" w:hint="default"/>
      </w:rPr>
    </w:lvl>
    <w:lvl w:ilvl="8" w:tplc="18090005" w:tentative="1">
      <w:start w:val="1"/>
      <w:numFmt w:val="bullet"/>
      <w:lvlText w:val=""/>
      <w:lvlJc w:val="left"/>
      <w:pPr>
        <w:ind w:left="6210" w:hanging="360"/>
      </w:pPr>
      <w:rPr>
        <w:rFonts w:ascii="Wingdings" w:hAnsi="Wingdings" w:hint="default"/>
      </w:rPr>
    </w:lvl>
  </w:abstractNum>
  <w:abstractNum w:abstractNumId="8" w15:restartNumberingAfterBreak="0">
    <w:nsid w:val="49D11F5D"/>
    <w:multiLevelType w:val="hybridMultilevel"/>
    <w:tmpl w:val="FAAE98D0"/>
    <w:lvl w:ilvl="0" w:tplc="2B5CCE5A">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BCC1A1D"/>
    <w:multiLevelType w:val="hybridMultilevel"/>
    <w:tmpl w:val="1A4AD9C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4E3D4F5B"/>
    <w:multiLevelType w:val="hybridMultilevel"/>
    <w:tmpl w:val="530690C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51683BE4"/>
    <w:multiLevelType w:val="hybridMultilevel"/>
    <w:tmpl w:val="3B049ADE"/>
    <w:lvl w:ilvl="0" w:tplc="04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3094D8E"/>
    <w:multiLevelType w:val="hybridMultilevel"/>
    <w:tmpl w:val="13DE6D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68E02188"/>
    <w:multiLevelType w:val="hybridMultilevel"/>
    <w:tmpl w:val="534E3D8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706D52FD"/>
    <w:multiLevelType w:val="hybridMultilevel"/>
    <w:tmpl w:val="15AE1B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14"/>
  </w:num>
  <w:num w:numId="5">
    <w:abstractNumId w:val="0"/>
  </w:num>
  <w:num w:numId="6">
    <w:abstractNumId w:val="2"/>
  </w:num>
  <w:num w:numId="7">
    <w:abstractNumId w:val="13"/>
  </w:num>
  <w:num w:numId="8">
    <w:abstractNumId w:val="9"/>
  </w:num>
  <w:num w:numId="9">
    <w:abstractNumId w:val="10"/>
  </w:num>
  <w:num w:numId="10">
    <w:abstractNumId w:val="5"/>
  </w:num>
  <w:num w:numId="11">
    <w:abstractNumId w:val="1"/>
  </w:num>
  <w:num w:numId="12">
    <w:abstractNumId w:val="8"/>
  </w:num>
  <w:num w:numId="13">
    <w:abstractNumId w:val="7"/>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5FE3"/>
    <w:rsid w:val="000110B0"/>
    <w:rsid w:val="00033260"/>
    <w:rsid w:val="00037C84"/>
    <w:rsid w:val="00052EA8"/>
    <w:rsid w:val="000565FB"/>
    <w:rsid w:val="00060034"/>
    <w:rsid w:val="000E1185"/>
    <w:rsid w:val="00130B04"/>
    <w:rsid w:val="001471FA"/>
    <w:rsid w:val="00195BC6"/>
    <w:rsid w:val="001F2BB3"/>
    <w:rsid w:val="00222586"/>
    <w:rsid w:val="002313FA"/>
    <w:rsid w:val="002774C2"/>
    <w:rsid w:val="002C5719"/>
    <w:rsid w:val="002E3715"/>
    <w:rsid w:val="00303C13"/>
    <w:rsid w:val="00404E8C"/>
    <w:rsid w:val="00417E33"/>
    <w:rsid w:val="00435175"/>
    <w:rsid w:val="0043731F"/>
    <w:rsid w:val="00462210"/>
    <w:rsid w:val="00472853"/>
    <w:rsid w:val="00485C8A"/>
    <w:rsid w:val="004A6231"/>
    <w:rsid w:val="004B7A4B"/>
    <w:rsid w:val="00501E03"/>
    <w:rsid w:val="005520C3"/>
    <w:rsid w:val="005B48EA"/>
    <w:rsid w:val="00620A1E"/>
    <w:rsid w:val="006313C4"/>
    <w:rsid w:val="00715A5B"/>
    <w:rsid w:val="00761D8C"/>
    <w:rsid w:val="007A221A"/>
    <w:rsid w:val="007E5609"/>
    <w:rsid w:val="00820CF9"/>
    <w:rsid w:val="0082507F"/>
    <w:rsid w:val="008254EA"/>
    <w:rsid w:val="008254EF"/>
    <w:rsid w:val="00862A43"/>
    <w:rsid w:val="008B5583"/>
    <w:rsid w:val="008C6617"/>
    <w:rsid w:val="008D5FE3"/>
    <w:rsid w:val="00900FC5"/>
    <w:rsid w:val="009269B5"/>
    <w:rsid w:val="00972742"/>
    <w:rsid w:val="009A5375"/>
    <w:rsid w:val="00A405A8"/>
    <w:rsid w:val="00A64311"/>
    <w:rsid w:val="00A74CBB"/>
    <w:rsid w:val="00AC2EFE"/>
    <w:rsid w:val="00AC5024"/>
    <w:rsid w:val="00AE22CF"/>
    <w:rsid w:val="00B17E02"/>
    <w:rsid w:val="00B67EAE"/>
    <w:rsid w:val="00B7558A"/>
    <w:rsid w:val="00B96694"/>
    <w:rsid w:val="00BD672C"/>
    <w:rsid w:val="00BF4E91"/>
    <w:rsid w:val="00C2137E"/>
    <w:rsid w:val="00C30F24"/>
    <w:rsid w:val="00C74D24"/>
    <w:rsid w:val="00CB5C5D"/>
    <w:rsid w:val="00D05F90"/>
    <w:rsid w:val="00D34D1E"/>
    <w:rsid w:val="00D43A6B"/>
    <w:rsid w:val="00DA3514"/>
    <w:rsid w:val="00DD7A7C"/>
    <w:rsid w:val="00E26A43"/>
    <w:rsid w:val="00E3648E"/>
    <w:rsid w:val="00EA48AC"/>
    <w:rsid w:val="00EA742E"/>
    <w:rsid w:val="00ED0094"/>
    <w:rsid w:val="00ED73B1"/>
    <w:rsid w:val="00F23560"/>
    <w:rsid w:val="00F25F7A"/>
    <w:rsid w:val="00FE3C17"/>
    <w:rsid w:val="00FF1915"/>
    <w:rsid w:val="00FF3605"/>
  </w:rsids>
  <m:mathPr>
    <m:mathFont m:val="Cambria Math"/>
    <m:brkBin m:val="before"/>
    <m:brkBinSub m:val="--"/>
    <m:smallFrac m:val="0"/>
    <m:dispDef/>
    <m:lMargin m:val="0"/>
    <m:rMargin m:val="0"/>
    <m:defJc m:val="centerGroup"/>
    <m:wrapIndent m:val="1440"/>
    <m:intLim m:val="subSup"/>
    <m:naryLim m:val="undOvr"/>
  </m:mathPr>
  <w:themeFontLang w:val="pt-PT"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6A1F5"/>
  <w15:chartTrackingRefBased/>
  <w15:docId w15:val="{BAF636D7-F482-436B-A964-AE2E2AD5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FE3"/>
    <w:pPr>
      <w:tabs>
        <w:tab w:val="center" w:pos="4252"/>
        <w:tab w:val="right" w:pos="8504"/>
      </w:tabs>
      <w:spacing w:after="0" w:line="240" w:lineRule="auto"/>
    </w:pPr>
  </w:style>
  <w:style w:type="character" w:customStyle="1" w:styleId="HeaderChar">
    <w:name w:val="Header Char"/>
    <w:basedOn w:val="DefaultParagraphFont"/>
    <w:link w:val="Header"/>
    <w:uiPriority w:val="99"/>
    <w:rsid w:val="008D5FE3"/>
  </w:style>
  <w:style w:type="paragraph" w:styleId="Footer">
    <w:name w:val="footer"/>
    <w:basedOn w:val="Normal"/>
    <w:link w:val="FooterChar"/>
    <w:uiPriority w:val="99"/>
    <w:unhideWhenUsed/>
    <w:rsid w:val="008D5FE3"/>
    <w:pPr>
      <w:tabs>
        <w:tab w:val="center" w:pos="4252"/>
        <w:tab w:val="right" w:pos="8504"/>
      </w:tabs>
      <w:spacing w:after="0" w:line="240" w:lineRule="auto"/>
    </w:pPr>
  </w:style>
  <w:style w:type="character" w:customStyle="1" w:styleId="FooterChar">
    <w:name w:val="Footer Char"/>
    <w:basedOn w:val="DefaultParagraphFont"/>
    <w:link w:val="Footer"/>
    <w:uiPriority w:val="99"/>
    <w:rsid w:val="008D5FE3"/>
  </w:style>
  <w:style w:type="paragraph" w:styleId="ListParagraph">
    <w:name w:val="List Paragraph"/>
    <w:basedOn w:val="Normal"/>
    <w:uiPriority w:val="34"/>
    <w:qFormat/>
    <w:rsid w:val="00CB5C5D"/>
    <w:pPr>
      <w:ind w:left="720"/>
      <w:contextualSpacing/>
    </w:pPr>
  </w:style>
  <w:style w:type="character" w:styleId="Hyperlink">
    <w:name w:val="Hyperlink"/>
    <w:basedOn w:val="DefaultParagraphFont"/>
    <w:uiPriority w:val="99"/>
    <w:unhideWhenUsed/>
    <w:rsid w:val="00B7558A"/>
    <w:rPr>
      <w:color w:val="0563C1" w:themeColor="hyperlink"/>
      <w:u w:val="single"/>
    </w:rPr>
  </w:style>
  <w:style w:type="character" w:styleId="FollowedHyperlink">
    <w:name w:val="FollowedHyperlink"/>
    <w:basedOn w:val="DefaultParagraphFont"/>
    <w:uiPriority w:val="99"/>
    <w:semiHidden/>
    <w:unhideWhenUsed/>
    <w:rsid w:val="00501E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sa.ie/eng/publications_and_forms/publications/manual_handling_and_musculoskeletal_disorders/guide_on_manual_handling_risk_management_in_transport_and_storag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1055</Words>
  <Characters>5702</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II, I.P.</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Fátima Pisco</dc:creator>
  <cp:keywords/>
  <dc:description/>
  <cp:lastModifiedBy>Kouyiali  Marina</cp:lastModifiedBy>
  <cp:revision>5</cp:revision>
  <dcterms:created xsi:type="dcterms:W3CDTF">2023-09-29T07:27:00Z</dcterms:created>
  <dcterms:modified xsi:type="dcterms:W3CDTF">2024-03-20T07:53:00Z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2023-07-31T08:16:55Z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c457a07a-2470-4d9a-b5fc-d33cb21c946e</vt:lpwstr>
  </property>
  <property fmtid="{D5CDD505-2E9C-101B-9397-08002B2CF9AE}" pid="8" name="MSIP_Label_6bd9ddd1-4d20-43f6-abfa-fc3c07406f94_ContentBits">
    <vt:lpwstr>0</vt:lpwstr>
  </property>
</Properties>
</file>